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120094BC" w:rsidR="00E63CBB" w:rsidRDefault="00AF381F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Jan. 5,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CC5F08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5A472391" w14:textId="77777777" w:rsidR="00AF381F" w:rsidRDefault="00AF381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Dec/</w:t>
            </w:r>
          </w:p>
          <w:p w14:paraId="076E45ED" w14:textId="7288997D" w:rsidR="00AF381F" w:rsidRPr="00E60489" w:rsidRDefault="00AF381F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Jan</w:t>
            </w: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72AF78CF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</w:t>
            </w:r>
          </w:p>
          <w:p w14:paraId="50BA9B87" w14:textId="509B95AC" w:rsidR="00E63CBB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Jan</w:t>
            </w:r>
          </w:p>
        </w:tc>
        <w:tc>
          <w:tcPr>
            <w:tcW w:w="1005" w:type="dxa"/>
          </w:tcPr>
          <w:p w14:paraId="0CAE6796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for </w:t>
            </w:r>
          </w:p>
          <w:p w14:paraId="21ED6D7A" w14:textId="0909B3FF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Jan</w:t>
            </w:r>
          </w:p>
        </w:tc>
        <w:tc>
          <w:tcPr>
            <w:tcW w:w="1005" w:type="dxa"/>
          </w:tcPr>
          <w:p w14:paraId="61C2767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for </w:t>
            </w:r>
          </w:p>
          <w:p w14:paraId="2C8D9639" w14:textId="280A5490" w:rsidR="000C2A35" w:rsidRPr="00E60489" w:rsidRDefault="000C2A35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Jan</w:t>
            </w: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</w:p>
        </w:tc>
      </w:tr>
      <w:tr w:rsidR="00CC5F08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39A402B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2,837</w:t>
            </w:r>
          </w:p>
        </w:tc>
        <w:tc>
          <w:tcPr>
            <w:tcW w:w="1005" w:type="dxa"/>
          </w:tcPr>
          <w:p w14:paraId="5E0DCF67" w14:textId="77777777" w:rsidR="00B6094B" w:rsidRDefault="00B6094B" w:rsidP="00B609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66</w:t>
            </w:r>
          </w:p>
          <w:p w14:paraId="267286E2" w14:textId="52DA9655" w:rsidR="00B6094B" w:rsidRPr="00E60489" w:rsidRDefault="00B6094B" w:rsidP="00B6094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12AD4952" w14:textId="4C55BE4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1005" w:type="dxa"/>
          </w:tcPr>
          <w:p w14:paraId="1CE291A1" w14:textId="2605252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AF981DD" w14:textId="2E6EB87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0F7D3DB" w14:textId="68A74D4C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0E872080" w14:textId="2A4552C2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10.9/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10.6</w:t>
            </w:r>
          </w:p>
        </w:tc>
        <w:tc>
          <w:tcPr>
            <w:tcW w:w="1476" w:type="dxa"/>
          </w:tcPr>
          <w:p w14:paraId="70F67ADB" w14:textId="1712971A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2,096</w:t>
            </w:r>
          </w:p>
        </w:tc>
      </w:tr>
      <w:tr w:rsidR="00CC5F08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36A5AE53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2,492</w:t>
            </w:r>
          </w:p>
        </w:tc>
        <w:tc>
          <w:tcPr>
            <w:tcW w:w="1005" w:type="dxa"/>
          </w:tcPr>
          <w:p w14:paraId="089712FF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49</w:t>
            </w:r>
          </w:p>
          <w:p w14:paraId="2CB67FC9" w14:textId="26C0698D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945" w:type="dxa"/>
          </w:tcPr>
          <w:p w14:paraId="70511D48" w14:textId="19EBD3AA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005" w:type="dxa"/>
          </w:tcPr>
          <w:p w14:paraId="72DD3622" w14:textId="7FF962C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B72B49B" w14:textId="3272FA4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754D52E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14:paraId="6A7AD714" w14:textId="32A48044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10.0/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10.3</w:t>
            </w:r>
          </w:p>
        </w:tc>
        <w:tc>
          <w:tcPr>
            <w:tcW w:w="1476" w:type="dxa"/>
          </w:tcPr>
          <w:p w14:paraId="059A00FF" w14:textId="1A82CEAF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2,349</w:t>
            </w:r>
          </w:p>
        </w:tc>
      </w:tr>
      <w:tr w:rsidR="00CC5F08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77C42AB2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1,716</w:t>
            </w:r>
          </w:p>
        </w:tc>
        <w:tc>
          <w:tcPr>
            <w:tcW w:w="1005" w:type="dxa"/>
          </w:tcPr>
          <w:p w14:paraId="55B42658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</w:t>
            </w:r>
          </w:p>
          <w:p w14:paraId="312C3798" w14:textId="7B2FE60A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085DA115" w14:textId="0723D9B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0AF95476" w14:textId="1D4EF0A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A29DE54" w14:textId="78728BB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5342FD7A" w14:textId="5D67821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4C031DAB" w14:textId="2ABC41F4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11.6/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8.1</w:t>
            </w:r>
          </w:p>
        </w:tc>
        <w:tc>
          <w:tcPr>
            <w:tcW w:w="1476" w:type="dxa"/>
          </w:tcPr>
          <w:p w14:paraId="2E95F5A0" w14:textId="42830BC4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2,427</w:t>
            </w:r>
          </w:p>
        </w:tc>
      </w:tr>
      <w:tr w:rsidR="00CC5F08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12FE02D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1,498</w:t>
            </w:r>
          </w:p>
        </w:tc>
        <w:tc>
          <w:tcPr>
            <w:tcW w:w="1005" w:type="dxa"/>
          </w:tcPr>
          <w:p w14:paraId="26FA7FAD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25</w:t>
            </w:r>
          </w:p>
          <w:p w14:paraId="51E7F3DA" w14:textId="7300D5C1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4A82E3C9" w14:textId="0563AA08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1A697DF3" w14:textId="3E6328C1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7442B693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0C900E" w14:textId="66F586D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7FF3105" w14:textId="66D4EB3B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6.9/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7.3</w:t>
            </w:r>
          </w:p>
        </w:tc>
        <w:tc>
          <w:tcPr>
            <w:tcW w:w="1476" w:type="dxa"/>
          </w:tcPr>
          <w:p w14:paraId="04084EAF" w14:textId="30E7CD19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2,103</w:t>
            </w:r>
          </w:p>
        </w:tc>
      </w:tr>
      <w:tr w:rsidR="00CC5F08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0D6A8DA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901</w:t>
            </w:r>
          </w:p>
        </w:tc>
        <w:tc>
          <w:tcPr>
            <w:tcW w:w="1005" w:type="dxa"/>
          </w:tcPr>
          <w:p w14:paraId="0CF9363C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15</w:t>
            </w:r>
          </w:p>
          <w:p w14:paraId="6C707FC6" w14:textId="4FA2521F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14:paraId="32E2BC7A" w14:textId="5B7EAE0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3F655D60" w14:textId="7D1F379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31A5C1DA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7EC6A88E" w14:textId="3F0AA209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63D3CFC" w14:textId="4F432DA6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8.2/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7.8</w:t>
            </w:r>
          </w:p>
        </w:tc>
        <w:tc>
          <w:tcPr>
            <w:tcW w:w="1476" w:type="dxa"/>
          </w:tcPr>
          <w:p w14:paraId="16594A85" w14:textId="10DA1ADF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2,300</w:t>
            </w:r>
          </w:p>
        </w:tc>
      </w:tr>
      <w:tr w:rsidR="00CC5F08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2AFBD6F9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5,007</w:t>
            </w:r>
          </w:p>
        </w:tc>
        <w:tc>
          <w:tcPr>
            <w:tcW w:w="1005" w:type="dxa"/>
          </w:tcPr>
          <w:p w14:paraId="095C28DF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85</w:t>
            </w:r>
          </w:p>
          <w:p w14:paraId="53C27171" w14:textId="0F882BF4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14:paraId="6586D5F6" w14:textId="0856219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20</w:t>
            </w:r>
          </w:p>
        </w:tc>
        <w:tc>
          <w:tcPr>
            <w:tcW w:w="1005" w:type="dxa"/>
          </w:tcPr>
          <w:p w14:paraId="00CB3D60" w14:textId="59646DC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0FFE3AC9" w14:textId="40856AF1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721D942" w14:textId="15F704F2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58988CB5" w14:textId="2B24979F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6.8/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6.0</w:t>
            </w:r>
          </w:p>
        </w:tc>
        <w:tc>
          <w:tcPr>
            <w:tcW w:w="1476" w:type="dxa"/>
          </w:tcPr>
          <w:p w14:paraId="6F5AE823" w14:textId="45A5ED89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2,345</w:t>
            </w:r>
          </w:p>
        </w:tc>
      </w:tr>
      <w:tr w:rsidR="00CC5F08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1FC25AE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1,856</w:t>
            </w:r>
          </w:p>
        </w:tc>
        <w:tc>
          <w:tcPr>
            <w:tcW w:w="1005" w:type="dxa"/>
          </w:tcPr>
          <w:p w14:paraId="04A756A8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40</w:t>
            </w:r>
          </w:p>
          <w:p w14:paraId="7E9337B7" w14:textId="22B4166B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945" w:type="dxa"/>
          </w:tcPr>
          <w:p w14:paraId="70CD6DC0" w14:textId="6B5494B8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005" w:type="dxa"/>
          </w:tcPr>
          <w:p w14:paraId="13F84BC6" w14:textId="7CD4370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7450935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963A50" w14:textId="52312B4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14:paraId="1947EC5A" w14:textId="562AB494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12.1/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11.2</w:t>
            </w:r>
          </w:p>
        </w:tc>
        <w:tc>
          <w:tcPr>
            <w:tcW w:w="1476" w:type="dxa"/>
          </w:tcPr>
          <w:p w14:paraId="7742F1A3" w14:textId="171986EB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1,963</w:t>
            </w:r>
          </w:p>
        </w:tc>
      </w:tr>
      <w:tr w:rsidR="00CC5F08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7CAF1551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3,857</w:t>
            </w:r>
          </w:p>
        </w:tc>
        <w:tc>
          <w:tcPr>
            <w:tcW w:w="1005" w:type="dxa"/>
          </w:tcPr>
          <w:p w14:paraId="630F88D9" w14:textId="77777777" w:rsidR="00514754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60</w:t>
            </w:r>
          </w:p>
          <w:p w14:paraId="78A0A672" w14:textId="7048E276" w:rsidR="00B6094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13</w:t>
            </w:r>
          </w:p>
        </w:tc>
        <w:tc>
          <w:tcPr>
            <w:tcW w:w="945" w:type="dxa"/>
          </w:tcPr>
          <w:p w14:paraId="461E4E1D" w14:textId="1FD769D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18</w:t>
            </w:r>
          </w:p>
        </w:tc>
        <w:tc>
          <w:tcPr>
            <w:tcW w:w="1005" w:type="dxa"/>
          </w:tcPr>
          <w:p w14:paraId="13A77B31" w14:textId="04B44A79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B2DB350" w14:textId="3986D55E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4344B37E" w14:textId="5522F7BC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14:paraId="3DA6C1CA" w14:textId="14DB5156" w:rsidR="00E63CBB" w:rsidRPr="00E60489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6.0/</w:t>
            </w:r>
            <w:r w:rsidR="000C2A35">
              <w:rPr>
                <w:rFonts w:ascii="Arial" w:eastAsia="Arial" w:hAnsi="Arial" w:cs="Arial"/>
                <w:sz w:val="28"/>
                <w:szCs w:val="28"/>
              </w:rPr>
              <w:t>4.4</w:t>
            </w:r>
          </w:p>
        </w:tc>
        <w:tc>
          <w:tcPr>
            <w:tcW w:w="1476" w:type="dxa"/>
          </w:tcPr>
          <w:p w14:paraId="41653421" w14:textId="6C46D697" w:rsidR="00E63CBB" w:rsidRDefault="00A43DDE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2,140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553F3060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1/5/2023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1</w:t>
      </w:r>
      <w:r w:rsidR="00870116">
        <w:rPr>
          <w:rFonts w:ascii="Arial" w:eastAsia="Arial" w:hAnsi="Arial" w:cs="Arial"/>
          <w:i/>
          <w:iCs/>
          <w:color w:val="000000" w:themeColor="text1"/>
          <w:highlight w:val="yellow"/>
        </w:rPr>
        <w:t>2/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31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/2022.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374BA668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>
        <w:rPr>
          <w:rFonts w:ascii="Arial" w:eastAsia="Arial" w:hAnsi="Arial" w:cs="Arial"/>
          <w:i/>
          <w:iCs/>
          <w:color w:val="FF0000"/>
          <w:u w:val="single"/>
        </w:rPr>
        <w:t>1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 xml:space="preserve">/5/23 </w:t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ab/>
      </w:r>
      <w:r w:rsidR="00AF381F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>2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>/29</w:t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ab/>
      </w:r>
      <w:r w:rsidR="00010F38">
        <w:rPr>
          <w:rFonts w:ascii="Arial" w:eastAsia="Arial" w:hAnsi="Arial" w:cs="Arial"/>
          <w:i/>
          <w:iCs/>
          <w:color w:val="FF0000"/>
          <w:u w:val="single"/>
        </w:rPr>
        <w:tab/>
        <w:t>12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 xml:space="preserve">/22 </w:t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</w:r>
      <w:r w:rsidR="00517447">
        <w:rPr>
          <w:rFonts w:ascii="Arial" w:eastAsia="Arial" w:hAnsi="Arial" w:cs="Arial"/>
          <w:i/>
          <w:iCs/>
          <w:color w:val="FF0000"/>
          <w:u w:val="single"/>
        </w:rPr>
        <w:tab/>
        <w:t>1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 xml:space="preserve">2/15 </w:t>
      </w:r>
      <w:r w:rsidR="00657EEF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1EBF4855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77550F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2,016</w:t>
      </w:r>
      <w:r w:rsidR="00AF381F">
        <w:rPr>
          <w:rFonts w:ascii="Arial" w:hAnsi="Arial" w:cs="Arial"/>
          <w:i/>
          <w:iCs/>
        </w:rPr>
        <w:tab/>
      </w:r>
      <w:r w:rsidR="00AF381F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1,865</w:t>
      </w:r>
      <w:r w:rsidR="00010F38">
        <w:rPr>
          <w:rFonts w:ascii="Arial" w:hAnsi="Arial" w:cs="Arial"/>
          <w:i/>
          <w:iCs/>
        </w:rPr>
        <w:tab/>
      </w:r>
      <w:r w:rsidR="00010F38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1,770</w:t>
      </w:r>
      <w:r w:rsidR="00517447">
        <w:rPr>
          <w:rFonts w:ascii="Arial" w:hAnsi="Arial" w:cs="Arial"/>
          <w:i/>
          <w:iCs/>
        </w:rPr>
        <w:tab/>
      </w:r>
      <w:r w:rsidR="00517447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1,661</w:t>
      </w:r>
    </w:p>
    <w:p w14:paraId="07BC8122" w14:textId="4D916F68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16.7</w:t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15.5</w:t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14.7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13.8</w:t>
      </w:r>
    </w:p>
    <w:p w14:paraId="65B29DE3" w14:textId="5EDB831A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A43DDE">
        <w:rPr>
          <w:rFonts w:ascii="Arial" w:eastAsia="Arial" w:hAnsi="Arial" w:cs="Arial"/>
          <w:i/>
          <w:iCs/>
          <w:color w:val="000000" w:themeColor="text1"/>
        </w:rPr>
        <w:t>10.9</w:t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AF381F">
        <w:rPr>
          <w:rFonts w:ascii="Arial" w:eastAsia="Arial" w:hAnsi="Arial" w:cs="Arial"/>
          <w:i/>
          <w:iCs/>
          <w:color w:val="000000" w:themeColor="text1"/>
        </w:rPr>
        <w:tab/>
      </w:r>
      <w:r w:rsidR="0008089F">
        <w:rPr>
          <w:rFonts w:ascii="Arial" w:eastAsia="Arial" w:hAnsi="Arial" w:cs="Arial"/>
          <w:i/>
          <w:iCs/>
          <w:color w:val="000000" w:themeColor="text1"/>
        </w:rPr>
        <w:t>9.2</w:t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010F38">
        <w:rPr>
          <w:rFonts w:ascii="Arial" w:eastAsia="Arial" w:hAnsi="Arial" w:cs="Arial"/>
          <w:i/>
          <w:iCs/>
          <w:color w:val="000000" w:themeColor="text1"/>
        </w:rPr>
        <w:tab/>
      </w:r>
      <w:r w:rsidR="004A3F4D">
        <w:rPr>
          <w:rFonts w:ascii="Arial" w:eastAsia="Arial" w:hAnsi="Arial" w:cs="Arial"/>
          <w:i/>
          <w:iCs/>
          <w:color w:val="000000" w:themeColor="text1"/>
        </w:rPr>
        <w:t>8.3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77550F">
        <w:rPr>
          <w:rFonts w:ascii="Arial" w:eastAsia="Arial" w:hAnsi="Arial" w:cs="Arial"/>
          <w:i/>
          <w:iCs/>
          <w:color w:val="000000" w:themeColor="text1"/>
        </w:rPr>
        <w:tab/>
      </w:r>
      <w:r w:rsidR="00A8400B">
        <w:rPr>
          <w:rFonts w:ascii="Arial" w:eastAsia="Arial" w:hAnsi="Arial" w:cs="Arial"/>
          <w:i/>
          <w:iCs/>
          <w:color w:val="000000" w:themeColor="text1"/>
        </w:rPr>
        <w:t>7.7</w:t>
      </w:r>
    </w:p>
    <w:p w14:paraId="105FF193" w14:textId="33CBBDDD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Pr="00CC5F08">
        <w:rPr>
          <w:rFonts w:ascii="Arial" w:hAnsi="Arial" w:cs="Arial"/>
          <w:i/>
          <w:iCs/>
        </w:rPr>
        <w:tab/>
      </w:r>
      <w:r w:rsidRPr="00CC5F08">
        <w:rPr>
          <w:rFonts w:ascii="Arial" w:hAnsi="Arial" w:cs="Arial"/>
          <w:i/>
          <w:iCs/>
        </w:rPr>
        <w:tab/>
        <w:t xml:space="preserve">          </w:t>
      </w:r>
      <w:r w:rsidR="00517447">
        <w:rPr>
          <w:rFonts w:ascii="Arial" w:hAnsi="Arial" w:cs="Arial"/>
          <w:i/>
          <w:iCs/>
        </w:rPr>
        <w:tab/>
      </w:r>
      <w:r w:rsidR="00A43DDE">
        <w:rPr>
          <w:rFonts w:ascii="Arial" w:hAnsi="Arial" w:cs="Arial"/>
          <w:i/>
          <w:iCs/>
        </w:rPr>
        <w:t>26</w:t>
      </w:r>
      <w:r w:rsidR="00AF381F">
        <w:rPr>
          <w:rFonts w:ascii="Arial" w:hAnsi="Arial" w:cs="Arial"/>
          <w:i/>
          <w:iCs/>
        </w:rPr>
        <w:tab/>
      </w:r>
      <w:r w:rsidR="00AF381F">
        <w:rPr>
          <w:rFonts w:ascii="Arial" w:hAnsi="Arial" w:cs="Arial"/>
          <w:i/>
          <w:iCs/>
        </w:rPr>
        <w:tab/>
      </w:r>
      <w:r w:rsidR="0008089F">
        <w:rPr>
          <w:rFonts w:ascii="Arial" w:hAnsi="Arial" w:cs="Arial"/>
          <w:i/>
          <w:iCs/>
        </w:rPr>
        <w:t>26</w:t>
      </w:r>
      <w:r w:rsidR="00010F38">
        <w:rPr>
          <w:rFonts w:ascii="Arial" w:hAnsi="Arial" w:cs="Arial"/>
          <w:i/>
          <w:iCs/>
        </w:rPr>
        <w:tab/>
      </w:r>
      <w:r w:rsidR="00010F38">
        <w:rPr>
          <w:rFonts w:ascii="Arial" w:hAnsi="Arial" w:cs="Arial"/>
          <w:i/>
          <w:iCs/>
        </w:rPr>
        <w:tab/>
      </w:r>
      <w:r w:rsidR="004A3F4D">
        <w:rPr>
          <w:rFonts w:ascii="Arial" w:hAnsi="Arial" w:cs="Arial"/>
          <w:i/>
          <w:iCs/>
        </w:rPr>
        <w:t>16</w:t>
      </w:r>
      <w:r w:rsidR="00517447">
        <w:rPr>
          <w:rFonts w:ascii="Arial" w:hAnsi="Arial" w:cs="Arial"/>
          <w:i/>
          <w:iCs/>
        </w:rPr>
        <w:tab/>
      </w:r>
      <w:r w:rsidR="0077550F">
        <w:rPr>
          <w:rFonts w:ascii="Arial" w:hAnsi="Arial" w:cs="Arial"/>
          <w:i/>
          <w:iCs/>
        </w:rPr>
        <w:tab/>
      </w:r>
      <w:r w:rsidR="00A8400B">
        <w:rPr>
          <w:rFonts w:ascii="Arial" w:hAnsi="Arial" w:cs="Arial"/>
          <w:i/>
          <w:iCs/>
        </w:rPr>
        <w:t>17</w:t>
      </w:r>
    </w:p>
    <w:p w14:paraId="4BC33B4A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90566CF" w14:textId="3B82652A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4.7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4 pe</w:t>
      </w:r>
      <w:bookmarkStart w:id="0" w:name="_GoBack"/>
      <w:bookmarkEnd w:id="0"/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rcent increase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compared with last week and </w:t>
      </w:r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virtually the same as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A43DDE">
        <w:rPr>
          <w:rFonts w:ascii="Arial" w:eastAsia="Arial" w:hAnsi="Arial" w:cs="Arial"/>
          <w:b/>
          <w:bCs/>
          <w:i/>
          <w:iCs/>
          <w:color w:val="000000" w:themeColor="text1"/>
        </w:rPr>
        <w:t>5.8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640B43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n increase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from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and </w:t>
      </w:r>
      <w:r w:rsidR="0008089F">
        <w:rPr>
          <w:rFonts w:ascii="Arial" w:eastAsia="Arial" w:hAnsi="Arial" w:cs="Arial"/>
          <w:b/>
          <w:bCs/>
          <w:i/>
          <w:iCs/>
          <w:color w:val="000000" w:themeColor="text1"/>
        </w:rPr>
        <w:t>almost 10 percent higher than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statewide </w:t>
      </w:r>
      <w:r w:rsidR="00E426D4">
        <w:rPr>
          <w:rFonts w:ascii="Arial" w:eastAsia="Arial" w:hAnsi="Arial" w:cs="Arial"/>
          <w:b/>
          <w:bCs/>
          <w:i/>
          <w:iCs/>
          <w:color w:val="000000" w:themeColor="text1"/>
        </w:rPr>
        <w:t>occupanc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y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45176"/>
    <w:rsid w:val="0008089F"/>
    <w:rsid w:val="000C2A35"/>
    <w:rsid w:val="00105720"/>
    <w:rsid w:val="00105D7C"/>
    <w:rsid w:val="0013240E"/>
    <w:rsid w:val="00141E40"/>
    <w:rsid w:val="00190896"/>
    <w:rsid w:val="001F428B"/>
    <w:rsid w:val="0020522B"/>
    <w:rsid w:val="002A5EC3"/>
    <w:rsid w:val="00397CFE"/>
    <w:rsid w:val="004A3F4D"/>
    <w:rsid w:val="00514754"/>
    <w:rsid w:val="00517447"/>
    <w:rsid w:val="005425C3"/>
    <w:rsid w:val="005622AA"/>
    <w:rsid w:val="00640B43"/>
    <w:rsid w:val="00657EEF"/>
    <w:rsid w:val="00683A29"/>
    <w:rsid w:val="0077550F"/>
    <w:rsid w:val="00794BA2"/>
    <w:rsid w:val="007C368A"/>
    <w:rsid w:val="008126D3"/>
    <w:rsid w:val="00870116"/>
    <w:rsid w:val="008905B4"/>
    <w:rsid w:val="009919E0"/>
    <w:rsid w:val="009F0677"/>
    <w:rsid w:val="00A00D74"/>
    <w:rsid w:val="00A43DDE"/>
    <w:rsid w:val="00A8400B"/>
    <w:rsid w:val="00AF381F"/>
    <w:rsid w:val="00B6094B"/>
    <w:rsid w:val="00CC5F08"/>
    <w:rsid w:val="00D074A2"/>
    <w:rsid w:val="00D21CD9"/>
    <w:rsid w:val="00D5260B"/>
    <w:rsid w:val="00E15718"/>
    <w:rsid w:val="00E426D4"/>
    <w:rsid w:val="00E63CBB"/>
    <w:rsid w:val="00E8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Erin Hightower</cp:lastModifiedBy>
  <cp:revision>8</cp:revision>
  <dcterms:created xsi:type="dcterms:W3CDTF">2023-01-05T15:55:00Z</dcterms:created>
  <dcterms:modified xsi:type="dcterms:W3CDTF">2023-01-09T18:39:00Z</dcterms:modified>
</cp:coreProperties>
</file>